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2F9F" w14:textId="77777777" w:rsidR="00BB3083" w:rsidRPr="00BB3083" w:rsidRDefault="00BB3083" w:rsidP="00BB3083">
      <w:pPr>
        <w:widowControl/>
        <w:shd w:val="clear" w:color="auto" w:fill="FFFFFF"/>
        <w:spacing w:line="360" w:lineRule="atLeast"/>
        <w:rPr>
          <w:rFonts w:ascii="Arial Black" w:eastAsia="微软雅黑" w:hAnsi="Arial Black"/>
          <w:b/>
          <w:bCs/>
          <w:color w:val="000000" w:themeColor="text1"/>
          <w:sz w:val="44"/>
          <w:szCs w:val="44"/>
        </w:rPr>
      </w:pPr>
      <w:r w:rsidRPr="00BB3083">
        <w:rPr>
          <w:rFonts w:ascii="Arial Black" w:eastAsia="微软雅黑" w:hAnsi="Arial Black"/>
          <w:b/>
          <w:bCs/>
          <w:color w:val="000000" w:themeColor="text1"/>
          <w:sz w:val="44"/>
          <w:szCs w:val="44"/>
        </w:rPr>
        <w:t>HLMF</w:t>
      </w:r>
    </w:p>
    <w:p w14:paraId="33FEC926" w14:textId="77777777" w:rsidR="00BB3083" w:rsidRPr="00BB3083" w:rsidRDefault="00BB3083" w:rsidP="00BB3083">
      <w:pPr>
        <w:widowControl/>
        <w:shd w:val="clear" w:color="auto" w:fill="FFFFFF"/>
        <w:spacing w:line="360" w:lineRule="atLeast"/>
        <w:jc w:val="center"/>
        <w:rPr>
          <w:rFonts w:ascii="华文行楷" w:eastAsia="华文行楷" w:hAnsi="微软雅黑" w:hint="eastAsia"/>
          <w:b/>
          <w:bCs/>
          <w:color w:val="000000" w:themeColor="text1"/>
          <w:sz w:val="44"/>
          <w:szCs w:val="44"/>
        </w:rPr>
      </w:pPr>
      <w:r w:rsidRPr="00BB3083">
        <w:rPr>
          <w:rFonts w:ascii="华文行楷" w:eastAsia="华文行楷" w:hAnsi="微软雅黑" w:hint="eastAsia"/>
          <w:b/>
          <w:bCs/>
          <w:color w:val="000000" w:themeColor="text1"/>
          <w:sz w:val="44"/>
          <w:szCs w:val="44"/>
        </w:rPr>
        <w:t>北京惠兰医学基金会</w:t>
      </w:r>
    </w:p>
    <w:p w14:paraId="0130F4A9" w14:textId="64F8B32E" w:rsidR="00BF1F05" w:rsidRPr="00BB3083" w:rsidRDefault="00BF1F05" w:rsidP="00BB3083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 w:rsidRPr="00BB3083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项目管理制度</w:t>
      </w:r>
    </w:p>
    <w:p w14:paraId="322ACC26" w14:textId="77777777" w:rsidR="00CF6508" w:rsidRPr="00BB3083" w:rsidRDefault="00CF6508" w:rsidP="00CF6508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</w:p>
    <w:p w14:paraId="4910679A" w14:textId="1DA89E0F" w:rsidR="00AB3C75" w:rsidRPr="00BB3083" w:rsidRDefault="00CF6508" w:rsidP="00BB3083">
      <w:pPr>
        <w:pStyle w:val="a6"/>
        <w:widowControl/>
        <w:shd w:val="clear" w:color="auto" w:fill="FFFFFF"/>
        <w:tabs>
          <w:tab w:val="left" w:pos="567"/>
          <w:tab w:val="left" w:pos="709"/>
          <w:tab w:val="left" w:pos="851"/>
        </w:tabs>
        <w:spacing w:line="360" w:lineRule="atLeast"/>
        <w:ind w:rightChars="-68" w:right="-143" w:firstLine="560"/>
        <w:jc w:val="left"/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</w:pPr>
      <w:r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第一章 </w:t>
      </w:r>
      <w:r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BF1F0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总则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第一条 为规范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北京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兰医学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基金会（以下简称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基会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会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）项目的管理，确保项目运行的合法、合规、合理，实现项目的预期目标，维护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金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会、捐赠方和受益方的合法权益，根据《基金会管理条例》、《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北京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兰医学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基金会章程》及国家相关法律法规，制定本制度。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第二条 本制度适用于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兰医学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基会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会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所有项目的立项，管理和执行。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第三条 本制度包括对项目立项、项目实施、项目资金、项目监督、项目档案的管理。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F1F0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第二章 </w:t>
      </w:r>
      <w:r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BF1F0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项目立项管理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第四条 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金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会所立项目必须符合“</w:t>
      </w:r>
      <w:r w:rsidR="00592819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通过资金筹集促进我市医学研究与公益事业发展。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”的宗旨，符合国家的相关法律法规。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br/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第五条 项目立项需提供《项目立项方案》，内容包括：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（1）项目背景、政治意义和社会影响；（2）前期调研及可行性分析；（3）项目名称及项目宗旨；（4）项目组织结构；（5）项目受益对象、人数、范围及预期效果；（6）项目实施计划；（7）项目预算（含项目资金来源及数额）；（8）项目起止时间；（9）项目监督；（10）项目评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lastRenderedPageBreak/>
        <w:t>估等。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第六条 </w:t>
      </w:r>
      <w:r w:rsidR="00BF1F0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所有项目均需经过理事长或其指定代理人批准，经批准的项目可进入实施阶段。按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592819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兰医学基金会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章程或相关法律法规应由理事会审议的项目，经理事会批准后方可进入实施阶段。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第七条 </w:t>
      </w:r>
      <w:r w:rsidR="00BF1F0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实行项目责任管理制，配备专职人员，行使项目管理职责。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F1F0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592819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第三章 </w:t>
      </w:r>
      <w:r w:rsidR="00592819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BF1F0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项目实施管理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第八条 严格合法合规实施项目，坚决杜绝违规操作；坚持公开、公正、公平原则，严禁徇私舞弊，不得利用关联关系损害慈善组织、受益人的利益和社会公共利益。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第九条 项目专业化管理。由专人对项目实施进行全过程监管，负责整个项目的日常管理、检查验收、定期汇报，确保项目按计划有序推进、资金流转按预算执行、项目效果按绩效输出。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第十条 项目实施预算制。制定项目执行计划与预算，经秘书长批准。在实施过程中项目关键因素发生重大变化，在充分论证的基础上可适度调整项目执行计划，报秘书长审批。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第十一条 定期总结项目阶段性工作，并向秘书处或理事会汇报项目实施进展及成效。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第四章 </w:t>
      </w:r>
      <w:r w:rsidR="00592819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BF1F0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项目资金管理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592819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592819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004167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第十二条 项目实行资金专项管理，确保项目资金的合法、合规、高效使用。项目接收的捐赠资金应全部进入本会账户，项目款项专款专用，任何单位或个人不得挤占或挪用；严格按善款使用审批权限办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lastRenderedPageBreak/>
        <w:t>事，不得越权签批或擅自拨款；对拨付善款进行定期检查，发现违规现象及时予以纠正；</w:t>
      </w:r>
      <w:r w:rsidR="00BF1F0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根据项目协议提取的项目管理费严格按照有关规定及协议约定使用。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CE15B0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CE15B0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第十三条 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CE15B0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兰医学基金会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依据项目执行协议条款、经费预算、项目进度、检查与验收结果，向项目实施单位分批拨付项目资金。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5119B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第十四条 申请拨款前，项目实施单位根据项目进展情况向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兰基金会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提交项目执行计划与预算、项目阶段性或项目完结报告并提供合法有效的财务票据，项目承办部门会同财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务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部审查无误后，报秘书长审批，通过批准方可拨款。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5119B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第十五条 项目承办部门会同财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务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部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门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对项目实施单位的执行情况与资金使用情况进行检查、监督和审计，并向秘书处或理事会汇报项目阶段性或项目完结财务报告。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5119B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第十六条 项目资金的管理和使用应接受业务主管部门、登记机关和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兰基金会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监事会的检查和监督。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F1F0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5119B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B5119B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B5119B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第五章 </w:t>
      </w:r>
      <w:r w:rsidR="00B5119B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BF1F0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项目监督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5119B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第十七条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兰基金会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采用项目跟踪监督、捐赠方监督、审计评估以及第三方评估等方式对项目进行监督。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B5119B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 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第十八条 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</w:t>
      </w:r>
      <w:r w:rsidR="00B5119B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金</w:t>
      </w:r>
      <w:r w:rsidR="00BF1F0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会建立项目跟踪监督巡查机制，以检查、调研等形式及时跟踪了解项目执行进展情况和存在的问题，随时向本会领导报告。</w:t>
      </w:r>
    </w:p>
    <w:p w14:paraId="32DED709" w14:textId="3CD52F7B" w:rsidR="00AB3C75" w:rsidRPr="00BB3083" w:rsidRDefault="00BF1F05" w:rsidP="00AB3C75">
      <w:pPr>
        <w:pStyle w:val="a6"/>
        <w:widowControl/>
        <w:shd w:val="clear" w:color="auto" w:fill="FFFFFF"/>
        <w:tabs>
          <w:tab w:val="left" w:pos="567"/>
          <w:tab w:val="left" w:pos="709"/>
          <w:tab w:val="left" w:pos="851"/>
        </w:tabs>
        <w:spacing w:line="360" w:lineRule="atLeast"/>
        <w:ind w:rightChars="-68" w:right="-143" w:firstLine="560"/>
        <w:jc w:val="left"/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</w:pP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第十八条</w:t>
      </w:r>
      <w:r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项目承办部门根据项目进展情况，定期做项目进展反馈报告，每年度作一次项目执行报告，随时接受捐赠方监督。</w:t>
      </w:r>
    </w:p>
    <w:p w14:paraId="6BBB21A9" w14:textId="7B200F65" w:rsidR="00BF1F05" w:rsidRPr="00BB3083" w:rsidRDefault="00BF1F05" w:rsidP="00AB3C75">
      <w:pPr>
        <w:pStyle w:val="a6"/>
        <w:widowControl/>
        <w:shd w:val="clear" w:color="auto" w:fill="FFFFFF"/>
        <w:tabs>
          <w:tab w:val="left" w:pos="709"/>
          <w:tab w:val="left" w:pos="851"/>
        </w:tabs>
        <w:spacing w:line="360" w:lineRule="atLeast"/>
        <w:ind w:rightChars="-68" w:right="-143" w:firstLineChars="233" w:firstLine="652"/>
        <w:jc w:val="left"/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</w:pP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lastRenderedPageBreak/>
        <w:t>第</w:t>
      </w:r>
      <w:r w:rsidR="00004167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十九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条</w:t>
      </w:r>
      <w:r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</w:t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金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会接受年度审计和专项审计监督。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AB3C75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第二十条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项目终结后可邀请第三方专业机构对项目进行整体评估，项目评估包括以下内容：项目执行情况评估、项目效果和社会效果评估、项目资金使用情况评估，并据此写出评估报告。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AB3C7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AB3C75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AB3C7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第五章 </w:t>
      </w:r>
      <w:r w:rsidR="00AB3C75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项目档案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AB3C75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第二十</w:t>
      </w:r>
      <w:r w:rsidR="00004167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一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条</w:t>
      </w:r>
      <w:r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AB3C7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建立健全项目档案，每年进行一次分类整理，归类建档。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AB3C75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第二十</w:t>
      </w:r>
      <w:r w:rsidR="00004167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二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条</w:t>
      </w:r>
      <w:r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> </w:t>
      </w:r>
      <w:r w:rsidR="00AB3C75" w:rsidRPr="00BB3083">
        <w:rPr>
          <w:rFonts w:ascii="微软雅黑" w:eastAsia="微软雅黑" w:hAnsi="微软雅黑" w:cs="Calibri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项目资料归档要做到及时、完整、统一、规范。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AB3C75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 </w:t>
      </w:r>
      <w:r w:rsidR="00AB3C75"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第六章 </w:t>
      </w:r>
      <w:r w:rsidR="00AB3C75" w:rsidRPr="00BB3083">
        <w:rPr>
          <w:rStyle w:val="a3"/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Pr="00BB3083">
        <w:rPr>
          <w:rStyle w:val="a3"/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附则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AB3C75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004167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第二十</w:t>
      </w:r>
      <w:r w:rsidR="00004167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三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条 本制度的解释权归</w:t>
      </w:r>
      <w:r w:rsidR="00004167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北京</w:t>
      </w:r>
      <w:r w:rsidR="00BB3083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惠</w:t>
      </w:r>
      <w:r w:rsidR="00004167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兰医学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基金会。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</w:rPr>
        <w:br/>
      </w:r>
      <w:r w:rsidR="00AB3C75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 xml:space="preserve"> </w:t>
      </w:r>
      <w:r w:rsidR="00AB3C75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 </w:t>
      </w:r>
      <w:r w:rsidR="00004167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第二十</w:t>
      </w:r>
      <w:r w:rsidR="00004167"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四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条 本制度经</w:t>
      </w:r>
      <w:r w:rsidR="00004167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>2005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年</w:t>
      </w:r>
      <w:r w:rsidR="00004167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>12</w:t>
      </w:r>
      <w:r w:rsidR="00004167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月</w:t>
      </w:r>
      <w:r w:rsidR="00004167" w:rsidRP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 xml:space="preserve"> </w:t>
      </w:r>
      <w:r w:rsidR="00BB3083">
        <w:rPr>
          <w:rFonts w:ascii="微软雅黑" w:eastAsia="微软雅黑" w:hAnsi="微软雅黑"/>
          <w:color w:val="5E5E5E"/>
          <w:sz w:val="28"/>
          <w:szCs w:val="28"/>
          <w:shd w:val="clear" w:color="auto" w:fill="FFFFFF"/>
        </w:rPr>
        <w:t>25</w:t>
      </w:r>
      <w:r w:rsidRPr="00BB3083">
        <w:rPr>
          <w:rFonts w:ascii="微软雅黑" w:eastAsia="微软雅黑" w:hAnsi="微软雅黑" w:hint="eastAsia"/>
          <w:color w:val="5E5E5E"/>
          <w:sz w:val="28"/>
          <w:szCs w:val="28"/>
          <w:shd w:val="clear" w:color="auto" w:fill="FFFFFF"/>
        </w:rPr>
        <w:t>日理事会通过。</w:t>
      </w:r>
    </w:p>
    <w:sectPr w:rsidR="00BF1F05" w:rsidRPr="00BB3083" w:rsidSect="0000416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139"/>
    <w:multiLevelType w:val="hybridMultilevel"/>
    <w:tmpl w:val="164822EE"/>
    <w:lvl w:ilvl="0" w:tplc="FF1EB9F8">
      <w:start w:val="1"/>
      <w:numFmt w:val="japaneseCounting"/>
      <w:lvlText w:val="第%1章"/>
      <w:lvlJc w:val="left"/>
      <w:pPr>
        <w:ind w:left="1250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60573BB"/>
    <w:multiLevelType w:val="hybridMultilevel"/>
    <w:tmpl w:val="86F03648"/>
    <w:lvl w:ilvl="0" w:tplc="52A0143C">
      <w:start w:val="1"/>
      <w:numFmt w:val="japaneseCounting"/>
      <w:lvlText w:val="第%1章"/>
      <w:lvlJc w:val="left"/>
      <w:pPr>
        <w:ind w:left="795" w:hanging="7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267A89"/>
    <w:multiLevelType w:val="multilevel"/>
    <w:tmpl w:val="3F1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60570"/>
    <w:multiLevelType w:val="multilevel"/>
    <w:tmpl w:val="831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D40A0"/>
    <w:multiLevelType w:val="multilevel"/>
    <w:tmpl w:val="046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05"/>
    <w:rsid w:val="00004167"/>
    <w:rsid w:val="00592819"/>
    <w:rsid w:val="00AB3C75"/>
    <w:rsid w:val="00B5119B"/>
    <w:rsid w:val="00BB3083"/>
    <w:rsid w:val="00BF1F05"/>
    <w:rsid w:val="00CE15B0"/>
    <w:rsid w:val="00CF6508"/>
    <w:rsid w:val="00E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79D8"/>
  <w15:chartTrackingRefBased/>
  <w15:docId w15:val="{C480295E-D981-4440-92DB-55DDEE4D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F1F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F1F0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60">
    <w:name w:val="标题 6 字符"/>
    <w:basedOn w:val="a0"/>
    <w:link w:val="6"/>
    <w:uiPriority w:val="9"/>
    <w:semiHidden/>
    <w:rsid w:val="00BF1F0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F1F05"/>
    <w:rPr>
      <w:b/>
      <w:bCs/>
    </w:rPr>
  </w:style>
  <w:style w:type="character" w:styleId="a4">
    <w:name w:val="Hyperlink"/>
    <w:basedOn w:val="a0"/>
    <w:uiPriority w:val="99"/>
    <w:semiHidden/>
    <w:unhideWhenUsed/>
    <w:rsid w:val="00BF1F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1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F1F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2D2D2"/>
                    <w:bottom w:val="none" w:sz="0" w:space="0" w:color="auto"/>
                    <w:right w:val="single" w:sz="6" w:space="0" w:color="D2D2D2"/>
                  </w:divBdr>
                  <w:divsChild>
                    <w:div w:id="33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030">
                          <w:marLeft w:val="495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6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405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1022">
                              <w:marLeft w:val="0"/>
                              <w:marRight w:val="0"/>
                              <w:marTop w:val="6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954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29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红</cp:lastModifiedBy>
  <cp:revision>2</cp:revision>
  <dcterms:created xsi:type="dcterms:W3CDTF">2020-09-05T07:59:00Z</dcterms:created>
  <dcterms:modified xsi:type="dcterms:W3CDTF">2020-09-05T07:59:00Z</dcterms:modified>
</cp:coreProperties>
</file>